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2"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8732"/>
      </w:tblGrid>
      <w:tr w:rsidR="00D72C85" w:rsidRPr="00D72C85" w:rsidTr="00D72C85">
        <w:trPr>
          <w:tblCellSpacing w:w="15" w:type="dxa"/>
        </w:trPr>
        <w:tc>
          <w:tcPr>
            <w:tcW w:w="8672" w:type="dxa"/>
            <w:shd w:val="clear" w:color="auto" w:fill="FFFFFF"/>
            <w:vAlign w:val="center"/>
            <w:hideMark/>
          </w:tcPr>
          <w:p w:rsidR="00D72C85" w:rsidRPr="00D72C85" w:rsidRDefault="00D72C85" w:rsidP="00D72C85">
            <w:pPr>
              <w:bidi/>
              <w:spacing w:after="0" w:line="240" w:lineRule="auto"/>
              <w:jc w:val="center"/>
              <w:rPr>
                <w:rFonts w:ascii="Tahoma" w:eastAsia="Times New Roman" w:hAnsi="Tahoma" w:cs="Tahoma"/>
                <w:color w:val="000000"/>
                <w:sz w:val="20"/>
                <w:szCs w:val="20"/>
              </w:rPr>
            </w:pPr>
            <w:r w:rsidRPr="00D72C85">
              <w:rPr>
                <w:rFonts w:ascii="Tahoma" w:eastAsia="Times New Roman" w:hAnsi="Tahoma" w:cs="Tahoma"/>
                <w:color w:val="000000"/>
                <w:sz w:val="20"/>
                <w:szCs w:val="20"/>
                <w:rtl/>
              </w:rPr>
              <w:t>                        </w:t>
            </w:r>
          </w:p>
        </w:tc>
      </w:tr>
      <w:tr w:rsidR="00D72C85" w:rsidRPr="00D72C85" w:rsidTr="00D72C85">
        <w:trPr>
          <w:tblCellSpacing w:w="15" w:type="dxa"/>
        </w:trPr>
        <w:tc>
          <w:tcPr>
            <w:tcW w:w="8672" w:type="dxa"/>
            <w:shd w:val="clear" w:color="auto" w:fill="FFFFFF"/>
            <w:vAlign w:val="center"/>
            <w:hideMark/>
          </w:tcPr>
          <w:p w:rsidR="00D72C85" w:rsidRPr="00D72C85" w:rsidRDefault="00D72C85" w:rsidP="00D72C85">
            <w:pPr>
              <w:bidi/>
              <w:spacing w:after="240" w:line="240" w:lineRule="auto"/>
              <w:rPr>
                <w:rFonts w:ascii="Tahoma" w:eastAsia="Times New Roman" w:hAnsi="Tahoma" w:cs="Tahoma"/>
                <w:color w:val="000000"/>
                <w:sz w:val="20"/>
                <w:szCs w:val="20"/>
              </w:rPr>
            </w:pPr>
            <w:r w:rsidRPr="00D72C85">
              <w:rPr>
                <w:rFonts w:ascii="Tahoma" w:eastAsia="Times New Roman" w:hAnsi="Tahoma" w:cs="Tahoma"/>
                <w:color w:val="000000"/>
                <w:sz w:val="20"/>
                <w:szCs w:val="20"/>
                <w:rtl/>
              </w:rPr>
              <w:t>نوع:دستورالعمل</w:t>
            </w:r>
            <w:r w:rsidRPr="00D72C85">
              <w:rPr>
                <w:rFonts w:ascii="Tahoma" w:eastAsia="Times New Roman" w:hAnsi="Tahoma" w:cs="Tahoma"/>
                <w:color w:val="000000"/>
                <w:sz w:val="20"/>
                <w:szCs w:val="20"/>
                <w:rtl/>
              </w:rPr>
              <w:br/>
            </w:r>
            <w:r w:rsidRPr="00D72C85">
              <w:rPr>
                <w:rFonts w:ascii="Tahoma" w:eastAsia="Times New Roman" w:hAnsi="Tahoma" w:cs="Tahoma"/>
                <w:color w:val="000000"/>
                <w:sz w:val="20"/>
                <w:szCs w:val="20"/>
                <w:rtl/>
              </w:rPr>
              <w:br/>
              <w:t>مواد مرتبط با ارزش افزوده: 13</w:t>
            </w:r>
          </w:p>
          <w:p w:rsidR="00D72C85" w:rsidRPr="00D72C85" w:rsidRDefault="00D72C85" w:rsidP="00D72C85">
            <w:pPr>
              <w:bidi/>
              <w:spacing w:before="100" w:beforeAutospacing="1" w:after="100" w:afterAutospacing="1" w:line="240" w:lineRule="auto"/>
              <w:rPr>
                <w:rFonts w:ascii="Tahoma" w:eastAsia="Times New Roman" w:hAnsi="Tahoma" w:cs="Tahoma"/>
                <w:color w:val="000000"/>
                <w:sz w:val="20"/>
                <w:szCs w:val="20"/>
                <w:rtl/>
              </w:rPr>
            </w:pPr>
            <w:r w:rsidRPr="00D72C85">
              <w:rPr>
                <w:rFonts w:ascii="Tahoma" w:eastAsia="Times New Roman" w:hAnsi="Tahoma" w:cs="Tahoma"/>
                <w:color w:val="000000"/>
                <w:sz w:val="20"/>
                <w:szCs w:val="20"/>
                <w:rtl/>
              </w:rPr>
              <w:t> </w:t>
            </w:r>
          </w:p>
          <w:p w:rsidR="00D72C85" w:rsidRPr="00D72C85" w:rsidRDefault="00D72C85" w:rsidP="00D72C85">
            <w:pPr>
              <w:bidi/>
              <w:spacing w:after="0" w:line="240" w:lineRule="auto"/>
              <w:jc w:val="both"/>
              <w:rPr>
                <w:rFonts w:ascii="Tahoma" w:eastAsia="Times New Roman" w:hAnsi="Tahoma" w:cs="Tahoma"/>
                <w:color w:val="000000"/>
                <w:sz w:val="20"/>
                <w:szCs w:val="20"/>
                <w:rtl/>
              </w:rPr>
            </w:pPr>
            <w:r w:rsidRPr="00D72C85">
              <w:rPr>
                <w:rFonts w:ascii="Tahoma" w:eastAsia="Times New Roman" w:hAnsi="Tahoma" w:cs="Tahoma"/>
                <w:color w:val="000000"/>
                <w:sz w:val="24"/>
                <w:szCs w:val="24"/>
                <w:rtl/>
              </w:rPr>
              <w:t>شماره:521/93/200</w:t>
            </w:r>
          </w:p>
          <w:p w:rsidR="00D72C85" w:rsidRPr="00D72C85" w:rsidRDefault="00D72C85" w:rsidP="00D72C85">
            <w:pPr>
              <w:bidi/>
              <w:spacing w:after="0" w:line="240" w:lineRule="auto"/>
              <w:jc w:val="both"/>
              <w:rPr>
                <w:rFonts w:ascii="Tahoma" w:eastAsia="Times New Roman" w:hAnsi="Tahoma" w:cs="Tahoma"/>
                <w:color w:val="000000"/>
                <w:sz w:val="20"/>
                <w:szCs w:val="20"/>
                <w:rtl/>
              </w:rPr>
            </w:pPr>
            <w:r w:rsidRPr="00D72C85">
              <w:rPr>
                <w:rFonts w:ascii="Tahoma" w:eastAsia="Times New Roman" w:hAnsi="Tahoma" w:cs="Tahoma"/>
                <w:color w:val="000000"/>
                <w:sz w:val="24"/>
                <w:szCs w:val="24"/>
                <w:rtl/>
              </w:rPr>
              <w:t>تاريخ:22/04/1393</w:t>
            </w:r>
          </w:p>
          <w:p w:rsidR="00D72C85" w:rsidRPr="00D72C85" w:rsidRDefault="00D72C85" w:rsidP="00D72C85">
            <w:pPr>
              <w:bidi/>
              <w:spacing w:after="0" w:line="240" w:lineRule="auto"/>
              <w:jc w:val="both"/>
              <w:rPr>
                <w:rFonts w:ascii="Tahoma" w:eastAsia="Times New Roman" w:hAnsi="Tahoma" w:cs="Tahoma"/>
                <w:color w:val="000000"/>
                <w:sz w:val="20"/>
                <w:szCs w:val="20"/>
                <w:rtl/>
              </w:rPr>
            </w:pPr>
            <w:r w:rsidRPr="00D72C85">
              <w:rPr>
                <w:rFonts w:ascii="Tahoma" w:eastAsia="Times New Roman" w:hAnsi="Tahoma" w:cs="Tahoma"/>
                <w:color w:val="000000"/>
                <w:sz w:val="24"/>
                <w:szCs w:val="24"/>
                <w:rtl/>
              </w:rPr>
              <w:t>پيوست: دارد</w:t>
            </w:r>
          </w:p>
          <w:p w:rsidR="00D72C85" w:rsidRPr="00D72C85" w:rsidRDefault="00D72C85" w:rsidP="00D72C85">
            <w:pPr>
              <w:bidi/>
              <w:spacing w:after="0" w:line="240" w:lineRule="auto"/>
              <w:jc w:val="both"/>
              <w:rPr>
                <w:rFonts w:ascii="Tahoma" w:eastAsia="Times New Roman" w:hAnsi="Tahoma" w:cs="Tahoma"/>
                <w:color w:val="000000"/>
                <w:sz w:val="20"/>
                <w:szCs w:val="20"/>
                <w:rtl/>
              </w:rPr>
            </w:pPr>
            <w:r w:rsidRPr="00D72C85">
              <w:rPr>
                <w:rFonts w:ascii="Tahoma" w:eastAsia="Times New Roman" w:hAnsi="Tahoma" w:cs="Tahoma"/>
                <w:color w:val="000000"/>
                <w:sz w:val="20"/>
                <w:szCs w:val="20"/>
                <w:rtl/>
              </w:rPr>
              <w:t> </w:t>
            </w:r>
          </w:p>
          <w:p w:rsidR="00D72C85" w:rsidRPr="00D72C85" w:rsidRDefault="00D72C85" w:rsidP="00D72C85">
            <w:pPr>
              <w:bidi/>
              <w:spacing w:after="0" w:line="240" w:lineRule="auto"/>
              <w:jc w:val="center"/>
              <w:rPr>
                <w:rFonts w:ascii="Tahoma" w:eastAsia="Times New Roman" w:hAnsi="Tahoma" w:cs="Tahoma"/>
                <w:color w:val="000000"/>
                <w:sz w:val="20"/>
                <w:szCs w:val="20"/>
                <w:rtl/>
              </w:rPr>
            </w:pPr>
            <w:r w:rsidRPr="00D72C85">
              <w:rPr>
                <w:rFonts w:ascii="Tahoma" w:eastAsia="Times New Roman" w:hAnsi="Tahoma" w:cs="Tahoma"/>
                <w:b/>
                <w:bCs/>
                <w:color w:val="000000"/>
                <w:sz w:val="24"/>
                <w:szCs w:val="24"/>
                <w:rtl/>
              </w:rPr>
              <w:t>دستورالعمل</w:t>
            </w:r>
          </w:p>
          <w:p w:rsidR="00D72C85" w:rsidRPr="00D72C85" w:rsidRDefault="00D72C85" w:rsidP="00D72C85">
            <w:pPr>
              <w:bidi/>
              <w:spacing w:after="0" w:line="240" w:lineRule="auto"/>
              <w:jc w:val="center"/>
              <w:rPr>
                <w:rFonts w:ascii="Tahoma" w:eastAsia="Times New Roman" w:hAnsi="Tahoma" w:cs="Tahoma"/>
                <w:color w:val="000000"/>
                <w:sz w:val="20"/>
                <w:szCs w:val="20"/>
                <w:rtl/>
              </w:rPr>
            </w:pPr>
            <w:r w:rsidRPr="00D72C85">
              <w:rPr>
                <w:rFonts w:ascii="Tahoma" w:eastAsia="Times New Roman" w:hAnsi="Tahoma" w:cs="Tahoma"/>
                <w:b/>
                <w:bCs/>
                <w:color w:val="000000"/>
                <w:sz w:val="20"/>
                <w:szCs w:val="20"/>
                <w:rtl/>
              </w:rPr>
              <w:t> </w:t>
            </w:r>
          </w:p>
          <w:tbl>
            <w:tblPr>
              <w:bidiVisual/>
              <w:tblW w:w="0" w:type="auto"/>
              <w:jc w:val="center"/>
              <w:tblCellMar>
                <w:left w:w="0" w:type="dxa"/>
                <w:right w:w="0" w:type="dxa"/>
              </w:tblCellMar>
              <w:tblLook w:val="04A0" w:firstRow="1" w:lastRow="0" w:firstColumn="1" w:lastColumn="0" w:noHBand="0" w:noVBand="1"/>
            </w:tblPr>
            <w:tblGrid>
              <w:gridCol w:w="666"/>
              <w:gridCol w:w="765"/>
              <w:gridCol w:w="3001"/>
              <w:gridCol w:w="1026"/>
            </w:tblGrid>
            <w:tr w:rsidR="00D72C85" w:rsidRPr="00D72C85" w:rsidTr="00D72C85">
              <w:trPr>
                <w:jc w:val="center"/>
              </w:trPr>
              <w:tc>
                <w:tcPr>
                  <w:tcW w:w="666"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before="100" w:beforeAutospacing="1" w:after="100" w:afterAutospacing="1" w:line="240" w:lineRule="auto"/>
                    <w:jc w:val="center"/>
                    <w:rPr>
                      <w:rFonts w:ascii="Times New Roman" w:eastAsia="Times New Roman" w:hAnsi="Times New Roman" w:cs="Times New Roman"/>
                      <w:sz w:val="24"/>
                      <w:szCs w:val="24"/>
                    </w:rPr>
                  </w:pPr>
                  <w:r w:rsidRPr="00D72C85">
                    <w:rPr>
                      <w:rFonts w:ascii="Tahoma" w:eastAsia="Times New Roman" w:hAnsi="Tahoma" w:cs="Tahoma"/>
                      <w:sz w:val="24"/>
                      <w:szCs w:val="24"/>
                      <w:rtl/>
                    </w:rPr>
                    <w:t>521</w:t>
                  </w:r>
                </w:p>
              </w:tc>
              <w:tc>
                <w:tcPr>
                  <w:tcW w:w="765"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before="100" w:beforeAutospacing="1" w:after="100" w:afterAutospacing="1" w:line="240" w:lineRule="auto"/>
                    <w:jc w:val="center"/>
                    <w:rPr>
                      <w:rFonts w:ascii="Times New Roman" w:eastAsia="Times New Roman" w:hAnsi="Times New Roman" w:cs="Times New Roman"/>
                      <w:sz w:val="24"/>
                      <w:szCs w:val="24"/>
                    </w:rPr>
                  </w:pPr>
                  <w:r w:rsidRPr="00D72C85">
                    <w:rPr>
                      <w:rFonts w:ascii="Tahoma" w:eastAsia="Times New Roman" w:hAnsi="Tahoma" w:cs="Tahoma"/>
                      <w:sz w:val="24"/>
                      <w:szCs w:val="24"/>
                      <w:rtl/>
                    </w:rPr>
                    <w:t>93</w:t>
                  </w:r>
                </w:p>
              </w:tc>
              <w:tc>
                <w:tcPr>
                  <w:tcW w:w="3001"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before="100" w:beforeAutospacing="1" w:after="100" w:afterAutospacing="1" w:line="240" w:lineRule="auto"/>
                    <w:jc w:val="center"/>
                    <w:rPr>
                      <w:rFonts w:ascii="Times New Roman" w:eastAsia="Times New Roman" w:hAnsi="Times New Roman" w:cs="Times New Roman"/>
                      <w:sz w:val="24"/>
                      <w:szCs w:val="24"/>
                    </w:rPr>
                  </w:pPr>
                  <w:r w:rsidRPr="00D72C85">
                    <w:rPr>
                      <w:rFonts w:ascii="Tahoma" w:eastAsia="Times New Roman" w:hAnsi="Tahoma" w:cs="Tahoma"/>
                      <w:sz w:val="24"/>
                      <w:szCs w:val="24"/>
                      <w:rtl/>
                    </w:rPr>
                    <w:t>قانون ماليات بر ارزش افزوده</w:t>
                  </w:r>
                </w:p>
              </w:tc>
              <w:tc>
                <w:tcPr>
                  <w:tcW w:w="1026"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hideMark/>
                </w:tcPr>
                <w:p w:rsidR="00D72C85" w:rsidRPr="00D72C85" w:rsidRDefault="00D72C85" w:rsidP="00D72C85">
                  <w:pPr>
                    <w:bidi/>
                    <w:spacing w:before="100" w:beforeAutospacing="1" w:after="100" w:afterAutospacing="1" w:line="240" w:lineRule="auto"/>
                    <w:jc w:val="center"/>
                    <w:rPr>
                      <w:rFonts w:ascii="Times New Roman" w:eastAsia="Times New Roman" w:hAnsi="Times New Roman" w:cs="Times New Roman"/>
                      <w:sz w:val="24"/>
                      <w:szCs w:val="24"/>
                    </w:rPr>
                  </w:pPr>
                  <w:r w:rsidRPr="00D72C85">
                    <w:rPr>
                      <w:rFonts w:ascii="Tahoma" w:eastAsia="Times New Roman" w:hAnsi="Tahoma" w:cs="Tahoma"/>
                      <w:sz w:val="24"/>
                      <w:szCs w:val="24"/>
                      <w:rtl/>
                    </w:rPr>
                    <w:t>الف</w:t>
                  </w:r>
                </w:p>
              </w:tc>
            </w:tr>
          </w:tbl>
          <w:p w:rsidR="00D72C85" w:rsidRPr="00D72C85" w:rsidRDefault="00D72C85" w:rsidP="00D72C85">
            <w:pPr>
              <w:bidi/>
              <w:spacing w:after="0" w:line="240" w:lineRule="auto"/>
              <w:jc w:val="center"/>
              <w:rPr>
                <w:rFonts w:ascii="Tahoma" w:eastAsia="Times New Roman" w:hAnsi="Tahoma" w:cs="Tahoma"/>
                <w:color w:val="000000"/>
                <w:sz w:val="20"/>
                <w:szCs w:val="20"/>
                <w:rtl/>
              </w:rPr>
            </w:pPr>
            <w:r w:rsidRPr="00D72C85">
              <w:rPr>
                <w:rFonts w:ascii="Tahoma" w:eastAsia="Times New Roman" w:hAnsi="Tahoma" w:cs="Tahoma"/>
                <w:b/>
                <w:bCs/>
                <w:color w:val="000000"/>
                <w:sz w:val="20"/>
                <w:szCs w:val="20"/>
                <w:rtl/>
              </w:rPr>
              <w:t> </w:t>
            </w:r>
          </w:p>
          <w:tbl>
            <w:tblPr>
              <w:bidiVisual/>
              <w:tblW w:w="7866" w:type="dxa"/>
              <w:tblInd w:w="517" w:type="dxa"/>
              <w:tblCellMar>
                <w:left w:w="0" w:type="dxa"/>
                <w:right w:w="0" w:type="dxa"/>
              </w:tblCellMar>
              <w:tblLook w:val="04A0" w:firstRow="1" w:lastRow="0" w:firstColumn="1" w:lastColumn="0" w:noHBand="0" w:noVBand="1"/>
            </w:tblPr>
            <w:tblGrid>
              <w:gridCol w:w="1773"/>
              <w:gridCol w:w="6093"/>
            </w:tblGrid>
            <w:tr w:rsidR="00D72C85" w:rsidRPr="00D72C85" w:rsidTr="00D72C85">
              <w:trPr>
                <w:trHeight w:val="382"/>
              </w:trPr>
              <w:tc>
                <w:tcPr>
                  <w:tcW w:w="1773"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b/>
                      <w:bCs/>
                      <w:sz w:val="24"/>
                      <w:szCs w:val="24"/>
                      <w:rtl/>
                    </w:rPr>
                    <w:t>مخاطبين</w:t>
                  </w:r>
                </w:p>
              </w:tc>
              <w:tc>
                <w:tcPr>
                  <w:tcW w:w="6093"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رؤساي محترم امور مالياتي شهر و استان تهران</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مديران کل محترم امور مالياتي استان ها</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مديران کل محترم ماليات بر ارزش افزوده شهر و استان تهران</w:t>
                  </w:r>
                </w:p>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ahoma" w:eastAsia="Times New Roman" w:hAnsi="Tahoma" w:cs="Tahoma"/>
                      <w:sz w:val="24"/>
                      <w:szCs w:val="24"/>
                      <w:rtl/>
                    </w:rPr>
                    <w:t>مدير کل محترم امور مالياتي مؤديان بزرگ</w:t>
                  </w:r>
                </w:p>
              </w:tc>
            </w:tr>
            <w:tr w:rsidR="00D72C85" w:rsidRPr="00D72C85" w:rsidTr="00D72C85">
              <w:trPr>
                <w:trHeight w:val="350"/>
              </w:trPr>
              <w:tc>
                <w:tcPr>
                  <w:tcW w:w="1773"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b/>
                      <w:bCs/>
                      <w:sz w:val="24"/>
                      <w:szCs w:val="24"/>
                      <w:rtl/>
                    </w:rPr>
                    <w:t>موضوع</w:t>
                  </w:r>
                </w:p>
              </w:tc>
              <w:tc>
                <w:tcPr>
                  <w:tcW w:w="6093"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ahoma" w:eastAsia="Times New Roman" w:hAnsi="Tahoma" w:cs="Tahoma"/>
                      <w:b/>
                      <w:bCs/>
                      <w:sz w:val="24"/>
                      <w:szCs w:val="24"/>
                      <w:rtl/>
                    </w:rPr>
                    <w:t>دستورالعمل نحوه استرداد موقت ماليات و عوارض ارزش فزوده، موضوع جزء(4) بند (الف) تبصره(10) قانون بودجه سال 1393 کل کشور</w:t>
                  </w:r>
                </w:p>
              </w:tc>
            </w:tr>
            <w:tr w:rsidR="00D72C85" w:rsidRPr="00D72C85" w:rsidTr="00D72C85">
              <w:trPr>
                <w:trHeight w:val="1115"/>
              </w:trPr>
              <w:tc>
                <w:tcPr>
                  <w:tcW w:w="7866" w:type="dxa"/>
                  <w:gridSpan w:val="2"/>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در اجراي جزء (4) بند (الف) تبصره (10) قانون بودجه سال 1393 کل کشور که مقرر مي دارد"</w:t>
                  </w:r>
                  <w:r w:rsidRPr="00D72C85">
                    <w:rPr>
                      <w:rFonts w:ascii="Tahoma" w:eastAsia="Times New Roman" w:hAnsi="Tahoma" w:cs="Tahoma"/>
                      <w:b/>
                      <w:bCs/>
                      <w:sz w:val="24"/>
                      <w:szCs w:val="24"/>
                      <w:rtl/>
                    </w:rPr>
                    <w:t>سازمان امور مالياتي و ادارات تابعه در استان ها مکلفند ماليات بر ارزش افزوده اخذ شده از صادرکنندگان مواد معدني و کالاهاي غيرنفتي را حداکثر پانزده روز پس از ارائه برگ سبز گمرکي و تأييد گمرک جمهوري اسلامي ايران عودت دهند"</w:t>
                  </w:r>
                  <w:r w:rsidRPr="00D72C85">
                    <w:rPr>
                      <w:rFonts w:ascii="Tahoma" w:eastAsia="Times New Roman" w:hAnsi="Tahoma" w:cs="Tahoma"/>
                      <w:sz w:val="24"/>
                      <w:szCs w:val="24"/>
                      <w:rtl/>
                    </w:rPr>
                    <w:t> لذا ادارات کل امور مالياتي مکلفند حداکثر ظرف مهلت مقرر و با رعايت موارد ذيل اقدام لازم معمول نمايند: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b/>
                      <w:bCs/>
                      <w:sz w:val="24"/>
                      <w:szCs w:val="24"/>
                      <w:rtl/>
                    </w:rPr>
                    <w:t>1- مدارک مورد نياز جهت استرداد موقت ماليات و عوارض ارزش افزوده:</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Wingdings" w:eastAsia="Times New Roman" w:hAnsi="Wingdings" w:cs="Times New Roman"/>
                      <w:sz w:val="24"/>
                      <w:szCs w:val="24"/>
                    </w:rPr>
                    <w:t></w:t>
                  </w:r>
                  <w:r w:rsidRPr="00D72C85">
                    <w:rPr>
                      <w:rFonts w:ascii="Tahoma" w:eastAsia="Times New Roman" w:hAnsi="Tahoma" w:cs="Tahoma"/>
                      <w:sz w:val="24"/>
                      <w:szCs w:val="24"/>
                      <w:rtl/>
                    </w:rPr>
                    <w:t> تکميل فرم درخواست استرداد ماليات و عوارض ارزش افزوده توسط مؤدي(فرم شماره 1)؛</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Wingdings" w:eastAsia="Times New Roman" w:hAnsi="Wingdings" w:cs="Times New Roman"/>
                      <w:sz w:val="24"/>
                      <w:szCs w:val="24"/>
                    </w:rPr>
                    <w:t></w:t>
                  </w:r>
                  <w:r w:rsidRPr="00D72C85">
                    <w:rPr>
                      <w:rFonts w:ascii="Tahoma" w:eastAsia="Times New Roman" w:hAnsi="Tahoma" w:cs="Tahoma"/>
                      <w:sz w:val="24"/>
                      <w:szCs w:val="24"/>
                      <w:rtl/>
                    </w:rPr>
                    <w:t> ارائه اصل و تصوير پشت و روي برگ سبز صادرات قطعي؛</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Wingdings" w:eastAsia="Times New Roman" w:hAnsi="Wingdings" w:cs="Times New Roman"/>
                      <w:sz w:val="24"/>
                      <w:szCs w:val="24"/>
                    </w:rPr>
                    <w:t></w:t>
                  </w:r>
                  <w:r w:rsidRPr="00D72C85">
                    <w:rPr>
                      <w:rFonts w:ascii="Tahoma" w:eastAsia="Times New Roman" w:hAnsi="Tahoma" w:cs="Tahoma"/>
                      <w:sz w:val="24"/>
                      <w:szCs w:val="24"/>
                      <w:rtl/>
                    </w:rPr>
                    <w:t> ارائه اصل و تصوير صورتحساب خريد کالاهاي مشمول ماليات و عوارض ارزش افزوده که به خارج از کشور صادر شده؛</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Wingdings" w:eastAsia="Times New Roman" w:hAnsi="Wingdings" w:cs="Times New Roman"/>
                      <w:sz w:val="24"/>
                      <w:szCs w:val="24"/>
                    </w:rPr>
                    <w:t></w:t>
                  </w:r>
                  <w:r w:rsidRPr="00D72C85">
                    <w:rPr>
                      <w:rFonts w:ascii="Tahoma" w:eastAsia="Times New Roman" w:hAnsi="Tahoma" w:cs="Tahoma"/>
                      <w:sz w:val="24"/>
                      <w:szCs w:val="24"/>
                      <w:rtl/>
                    </w:rPr>
                    <w:t> ارائه اصل و تصوير اسناد و مدارک مربوط به ساير هزينه هاي مشمول ماليات و عوارض ارزش افزوده مرتبط با کالاهايي که به خارج از کشور صادر شده؛</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Wingdings" w:eastAsia="Times New Roman" w:hAnsi="Wingdings" w:cs="Times New Roman"/>
                      <w:sz w:val="24"/>
                      <w:szCs w:val="24"/>
                    </w:rPr>
                    <w:t></w:t>
                  </w:r>
                  <w:r w:rsidRPr="00D72C85">
                    <w:rPr>
                      <w:rFonts w:ascii="Tahoma" w:eastAsia="Times New Roman" w:hAnsi="Tahoma" w:cs="Tahoma"/>
                      <w:sz w:val="24"/>
                      <w:szCs w:val="24"/>
                      <w:rtl/>
                    </w:rPr>
                    <w:t> ارائه دفاتر روزنامه و کل تحرير شده سال صدور کالا؛</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Wingdings" w:eastAsia="Times New Roman" w:hAnsi="Wingdings" w:cs="Times New Roman"/>
                      <w:sz w:val="24"/>
                      <w:szCs w:val="24"/>
                    </w:rPr>
                    <w:t></w:t>
                  </w:r>
                  <w:r w:rsidRPr="00D72C85">
                    <w:rPr>
                      <w:rFonts w:ascii="Tahoma" w:eastAsia="Times New Roman" w:hAnsi="Tahoma" w:cs="Tahoma"/>
                      <w:sz w:val="24"/>
                      <w:szCs w:val="24"/>
                      <w:rtl/>
                    </w:rPr>
                    <w:t> ارائه اصل و تصوير پشت و روي پروانه واردات در مواردي که صادرات از محل واردات صورت گرفته باشد.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b/>
                      <w:bCs/>
                      <w:sz w:val="24"/>
                      <w:szCs w:val="24"/>
                      <w:rtl/>
                    </w:rPr>
                    <w:t>تذکر:</w:t>
                  </w:r>
                  <w:r w:rsidRPr="00D72C85">
                    <w:rPr>
                      <w:rFonts w:ascii="Tahoma" w:eastAsia="Times New Roman" w:hAnsi="Tahoma" w:cs="Tahoma"/>
                      <w:sz w:val="24"/>
                      <w:szCs w:val="24"/>
                      <w:rtl/>
                    </w:rPr>
                    <w:t> پس از تطبيق اصل مدارک با تصوير آن، اصل مدارک مي بايست به مؤدي عودت گردد.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2- ادارات امور مالياتي مي بايست پس از دريافت مدارک فوق الذکر به همراه فرم تکميل شده درخواست استرداد مطابق </w:t>
                  </w:r>
                  <w:r w:rsidRPr="00D72C85">
                    <w:rPr>
                      <w:rFonts w:ascii="Tahoma" w:eastAsia="Times New Roman" w:hAnsi="Tahoma" w:cs="Tahoma"/>
                      <w:b/>
                      <w:bCs/>
                      <w:sz w:val="24"/>
                      <w:szCs w:val="24"/>
                      <w:rtl/>
                    </w:rPr>
                    <w:t>فرم شماره(1) </w:t>
                  </w:r>
                  <w:r w:rsidRPr="00D72C85">
                    <w:rPr>
                      <w:rFonts w:ascii="Tahoma" w:eastAsia="Times New Roman" w:hAnsi="Tahoma" w:cs="Tahoma"/>
                      <w:sz w:val="24"/>
                      <w:szCs w:val="24"/>
                      <w:rtl/>
                    </w:rPr>
                    <w:t xml:space="preserve">مراتب را از گمرک </w:t>
                  </w:r>
                  <w:r w:rsidRPr="00D72C85">
                    <w:rPr>
                      <w:rFonts w:ascii="Tahoma" w:eastAsia="Times New Roman" w:hAnsi="Tahoma" w:cs="Tahoma"/>
                      <w:sz w:val="24"/>
                      <w:szCs w:val="24"/>
                      <w:rtl/>
                    </w:rPr>
                    <w:lastRenderedPageBreak/>
                    <w:t>ذيربط طبق </w:t>
                  </w:r>
                  <w:r w:rsidRPr="00D72C85">
                    <w:rPr>
                      <w:rFonts w:ascii="Tahoma" w:eastAsia="Times New Roman" w:hAnsi="Tahoma" w:cs="Tahoma"/>
                      <w:b/>
                      <w:bCs/>
                      <w:sz w:val="24"/>
                      <w:szCs w:val="24"/>
                      <w:rtl/>
                    </w:rPr>
                    <w:t>فرم شماره (2) </w:t>
                  </w:r>
                  <w:r w:rsidRPr="00D72C85">
                    <w:rPr>
                      <w:rFonts w:ascii="Tahoma" w:eastAsia="Times New Roman" w:hAnsi="Tahoma" w:cs="Tahoma"/>
                      <w:sz w:val="24"/>
                      <w:szCs w:val="24"/>
                      <w:rtl/>
                    </w:rPr>
                    <w:t> استعلام و پس از اخذ تأييديه نسبت به استرداد مطابق </w:t>
                  </w:r>
                  <w:r w:rsidRPr="00D72C85">
                    <w:rPr>
                      <w:rFonts w:ascii="Tahoma" w:eastAsia="Times New Roman" w:hAnsi="Tahoma" w:cs="Tahoma"/>
                      <w:b/>
                      <w:bCs/>
                      <w:sz w:val="24"/>
                      <w:szCs w:val="24"/>
                      <w:rtl/>
                    </w:rPr>
                    <w:t>فرم شماره (1) </w:t>
                  </w:r>
                  <w:r w:rsidRPr="00D72C85">
                    <w:rPr>
                      <w:rFonts w:ascii="Tahoma" w:eastAsia="Times New Roman" w:hAnsi="Tahoma" w:cs="Tahoma"/>
                      <w:sz w:val="24"/>
                      <w:szCs w:val="24"/>
                      <w:rtl/>
                    </w:rPr>
                    <w:t> مراتب را از گمرک ذيربط طبق </w:t>
                  </w:r>
                  <w:r w:rsidRPr="00D72C85">
                    <w:rPr>
                      <w:rFonts w:ascii="Tahoma" w:eastAsia="Times New Roman" w:hAnsi="Tahoma" w:cs="Tahoma"/>
                      <w:b/>
                      <w:bCs/>
                      <w:sz w:val="24"/>
                      <w:szCs w:val="24"/>
                      <w:rtl/>
                    </w:rPr>
                    <w:t xml:space="preserve">فرم شماره </w:t>
                  </w:r>
                  <w:bookmarkStart w:id="0" w:name="_GoBack"/>
                  <w:bookmarkEnd w:id="0"/>
                  <w:r w:rsidRPr="00D72C85">
                    <w:rPr>
                      <w:rFonts w:ascii="Tahoma" w:eastAsia="Times New Roman" w:hAnsi="Tahoma" w:cs="Tahoma"/>
                      <w:b/>
                      <w:bCs/>
                      <w:sz w:val="24"/>
                      <w:szCs w:val="24"/>
                      <w:rtl/>
                    </w:rPr>
                    <w:t>(2)</w:t>
                  </w:r>
                  <w:r w:rsidRPr="00D72C85">
                    <w:rPr>
                      <w:rFonts w:ascii="Tahoma" w:eastAsia="Times New Roman" w:hAnsi="Tahoma" w:cs="Tahoma"/>
                      <w:sz w:val="24"/>
                      <w:szCs w:val="24"/>
                      <w:rtl/>
                    </w:rPr>
                    <w:t> استعلام و پس از اخذ تأييديه نسبت به تنظيم گزارش بررسي دفاتر و اسناد و مدارک مؤديان در چارچوب مقررات(احراز صادرات،احراز اعتبار پرداختي، تسهيم اعتبار سهم صادرات، مشاهده ثبت رويداد در دفاتر و ...)، بر اساس </w:t>
                  </w:r>
                  <w:r w:rsidRPr="00D72C85">
                    <w:rPr>
                      <w:rFonts w:ascii="Tahoma" w:eastAsia="Times New Roman" w:hAnsi="Tahoma" w:cs="Tahoma"/>
                      <w:b/>
                      <w:bCs/>
                      <w:sz w:val="24"/>
                      <w:szCs w:val="24"/>
                      <w:rtl/>
                    </w:rPr>
                    <w:t>فرم شماره (3)</w:t>
                  </w:r>
                  <w:r w:rsidRPr="00D72C85">
                    <w:rPr>
                      <w:rFonts w:ascii="Tahoma" w:eastAsia="Times New Roman" w:hAnsi="Tahoma" w:cs="Tahoma"/>
                      <w:sz w:val="24"/>
                      <w:szCs w:val="24"/>
                      <w:rtl/>
                    </w:rPr>
                    <w:t>اقدام لازم را به عمل آورند به نحوي که حداکثر ظرف مدت پانزده روز پس از ارائه تأييديه گمرک جمهوري اسلامي ايران و با رعايت ساير مقررات استرداد موقت ماليات و عوارض ارزش افزوده به موجب </w:t>
                  </w:r>
                  <w:r w:rsidRPr="00D72C85">
                    <w:rPr>
                      <w:rFonts w:ascii="Tahoma" w:eastAsia="Times New Roman" w:hAnsi="Tahoma" w:cs="Tahoma"/>
                      <w:b/>
                      <w:bCs/>
                      <w:sz w:val="24"/>
                      <w:szCs w:val="24"/>
                      <w:rtl/>
                    </w:rPr>
                    <w:t>فرم شماره (4)</w:t>
                  </w:r>
                  <w:r w:rsidRPr="00D72C85">
                    <w:rPr>
                      <w:rFonts w:ascii="Tahoma" w:eastAsia="Times New Roman" w:hAnsi="Tahoma" w:cs="Tahoma"/>
                      <w:sz w:val="24"/>
                      <w:szCs w:val="24"/>
                      <w:rtl/>
                    </w:rPr>
                    <w:t>انجام پذيرد.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3- در مواردي که در اجراي جزء (4) بند(الف) تبصره (10) قانون بودجه سال 1393 کل کشور،بابت صادرات قطعي مواد معدني و کالاهاي غيرنفتي، استرداد موقت ماليات و عوارض ارزش افزوده صورت مي پذيرد، ادارات امور مالياتي موظفند بلافاصله پس از انقضاء مهلت تسليم اظهارنامه مالياتي، رسيدگي به دوره/ دوره هاي مالياتي که استرداد موقت انجام شده است را در اولويت قرار دهند.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4- چنانچه درخواست استرداد ماليات و عوارض ارزش افزوده مؤدي و همچنين اخذ تأييديه گمرک همزمان با انقضاء مهلت تسليم اظهارنامه دوره مربوط باشد در اينصورت ادارات امور مالياتي مي بايست ظرف مهلت مقرر جهت تعيين تکليف نهايي پرونده مورد نظر،نسبت به رسيدگي کامل دوره مذکور اقدام نمايند.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5- استرداد موقت موضوع جزء(4) بند(الف) تبصره (10) قانون بودجه سال 1393 کل کشور، صرفاً در خصوص صادرات قطعي مواد معدني و کالاهاي غيرنفتي در سال 1393 بوده و </w:t>
                  </w:r>
                  <w:r w:rsidRPr="00D72C85">
                    <w:rPr>
                      <w:rFonts w:ascii="Tahoma" w:eastAsia="Times New Roman" w:hAnsi="Tahoma" w:cs="Tahoma"/>
                      <w:b/>
                      <w:bCs/>
                      <w:sz w:val="24"/>
                      <w:szCs w:val="24"/>
                      <w:rtl/>
                    </w:rPr>
                    <w:t>قابل تسري به صادرات خدمات و همچنين صادرات در ساير سنوات و استرداد ساير موارد </w:t>
                  </w:r>
                  <w:r w:rsidRPr="00D72C85">
                    <w:rPr>
                      <w:rFonts w:ascii="Tahoma" w:eastAsia="Times New Roman" w:hAnsi="Tahoma" w:cs="Tahoma"/>
                      <w:sz w:val="24"/>
                      <w:szCs w:val="24"/>
                      <w:rtl/>
                    </w:rPr>
                    <w:t>نخواهد بود.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6- استرداد ماليات و عوارض موصوف موکول به ثبت نام مؤديان متقاضي استرداد در نظام ماليات بر ارزش افزوده خواهد بود.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7- ادارات امور مالياتي مي بايست ضمن اظهارنظر در خصوص ماليات و عوارض ارزش افزوده پرداختي بابت نهادهاي کالاهاي صادراتي، نسبت به محاسبه سهم ماليات و عوارض ارزش افزوده به ميزان صادرات انجام شده نيز اقدام نمايند.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8- ادارات کل امور مالياتي مکلف به تشکيل کارگروهي متشکل از يک نفر رئيس امور مالياتي، يک نفر رئيس گروه مالياتي و دو نفر کارشناس ارشد مالياتي مي باشند که کارگروه مذکور نيز موظف است قبل از هر گونه استرداد ماليات و عوارض ارزش افزوده به صادرکنندگان، کنترل هاي لازم را در خصوص احراز صحت و اصالت صورتحساب و ساير اسناد و مدارک مرتبط با اعتبار مالياتي اعمال و در فرم شماره(3) اين دستورالعمل اظهارنظر نمايد.</w:t>
                  </w:r>
                </w:p>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9- هر گونه استرداد ماليات و عوارض ارزش افزوده صادرکنندگان منوط به عدم وجود بدهي ابرازي و يا قطعي شده دوره يا دوره هاي قبل مي باشد.</w:t>
                  </w:r>
                </w:p>
                <w:p w:rsidR="00D72C85" w:rsidRPr="00D72C85" w:rsidRDefault="00D72C85" w:rsidP="00D72C85">
                  <w:pPr>
                    <w:bidi/>
                    <w:spacing w:after="120" w:line="240" w:lineRule="auto"/>
                    <w:jc w:val="both"/>
                    <w:rPr>
                      <w:rFonts w:ascii="Times New Roman" w:eastAsia="Times New Roman" w:hAnsi="Times New Roman" w:cs="Times New Roman"/>
                      <w:sz w:val="24"/>
                      <w:szCs w:val="24"/>
                      <w:rtl/>
                    </w:rPr>
                  </w:pPr>
                  <w:r w:rsidRPr="00D72C85">
                    <w:rPr>
                      <w:rFonts w:ascii="Tahoma" w:eastAsia="Times New Roman" w:hAnsi="Tahoma" w:cs="Tahoma"/>
                      <w:sz w:val="24"/>
                      <w:szCs w:val="24"/>
                      <w:rtl/>
                    </w:rPr>
                    <w:t>10- ادارات کل امور مالياتي مي بايست آمار استرداد موقت ماليات و عوارض ارزش افزوده هر ماه را به شرح جدول زير حداکثر تا پانزدهم ماه بعد به دفتر رسيدگي و استرداد اعلام نمايند.</w:t>
                  </w:r>
                </w:p>
                <w:tbl>
                  <w:tblPr>
                    <w:bidiVisual/>
                    <w:tblW w:w="0" w:type="auto"/>
                    <w:jc w:val="center"/>
                    <w:tblCellMar>
                      <w:left w:w="0" w:type="dxa"/>
                      <w:right w:w="0" w:type="dxa"/>
                    </w:tblCellMar>
                    <w:tblLook w:val="04A0" w:firstRow="1" w:lastRow="0" w:firstColumn="1" w:lastColumn="0" w:noHBand="0" w:noVBand="1"/>
                  </w:tblPr>
                  <w:tblGrid>
                    <w:gridCol w:w="539"/>
                    <w:gridCol w:w="642"/>
                    <w:gridCol w:w="1120"/>
                    <w:gridCol w:w="1098"/>
                    <w:gridCol w:w="1203"/>
                    <w:gridCol w:w="651"/>
                    <w:gridCol w:w="609"/>
                    <w:gridCol w:w="739"/>
                    <w:gridCol w:w="609"/>
                  </w:tblGrid>
                  <w:tr w:rsidR="00D72C85" w:rsidRPr="00D72C85">
                    <w:trPr>
                      <w:jc w:val="center"/>
                    </w:trPr>
                    <w:tc>
                      <w:tcPr>
                        <w:tcW w:w="53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رديف</w:t>
                        </w:r>
                      </w:p>
                    </w:tc>
                    <w:tc>
                      <w:tcPr>
                        <w:tcW w:w="642" w:type="dxa"/>
                        <w:vMerge w:val="restart"/>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نام مؤدي</w:t>
                        </w:r>
                      </w:p>
                    </w:tc>
                    <w:tc>
                      <w:tcPr>
                        <w:tcW w:w="1120" w:type="dxa"/>
                        <w:vMerge w:val="restart"/>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tl/>
                          </w:rPr>
                        </w:pPr>
                        <w:r w:rsidRPr="00D72C85">
                          <w:rPr>
                            <w:rFonts w:ascii="Tahoma" w:eastAsia="Times New Roman" w:hAnsi="Tahoma" w:cs="Tahoma"/>
                            <w:sz w:val="16"/>
                            <w:szCs w:val="16"/>
                            <w:rtl/>
                          </w:rPr>
                          <w:t>شماره</w:t>
                        </w:r>
                      </w:p>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اقتصادي/ملي</w:t>
                        </w:r>
                      </w:p>
                    </w:tc>
                    <w:tc>
                      <w:tcPr>
                        <w:tcW w:w="1098" w:type="dxa"/>
                        <w:vMerge w:val="restart"/>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مبلغ ماليات استرداد شده</w:t>
                        </w:r>
                      </w:p>
                    </w:tc>
                    <w:tc>
                      <w:tcPr>
                        <w:tcW w:w="1203" w:type="dxa"/>
                        <w:vMerge w:val="restart"/>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مبلغ عوارض استرداد شده</w:t>
                        </w:r>
                      </w:p>
                    </w:tc>
                    <w:tc>
                      <w:tcPr>
                        <w:tcW w:w="1260" w:type="dxa"/>
                        <w:gridSpan w:val="2"/>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چک استرداد ماليات</w:t>
                        </w:r>
                      </w:p>
                    </w:tc>
                    <w:tc>
                      <w:tcPr>
                        <w:tcW w:w="1348" w:type="dxa"/>
                        <w:gridSpan w:val="2"/>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چک استرداد عوارض</w:t>
                        </w:r>
                      </w:p>
                    </w:tc>
                  </w:tr>
                  <w:tr w:rsidR="00D72C85" w:rsidRPr="00D72C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2C85" w:rsidRPr="00D72C85" w:rsidRDefault="00D72C85" w:rsidP="00D72C8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outset" w:sz="6" w:space="0" w:color="EBE9ED"/>
                          <w:bottom w:val="single" w:sz="8" w:space="0" w:color="auto"/>
                          <w:right w:val="single" w:sz="8" w:space="0" w:color="auto"/>
                        </w:tcBorders>
                        <w:vAlign w:val="center"/>
                        <w:hideMark/>
                      </w:tcPr>
                      <w:p w:rsidR="00D72C85" w:rsidRPr="00D72C85" w:rsidRDefault="00D72C85" w:rsidP="00D72C8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outset" w:sz="6" w:space="0" w:color="EBE9ED"/>
                          <w:bottom w:val="single" w:sz="8" w:space="0" w:color="auto"/>
                          <w:right w:val="single" w:sz="8" w:space="0" w:color="auto"/>
                        </w:tcBorders>
                        <w:vAlign w:val="center"/>
                        <w:hideMark/>
                      </w:tcPr>
                      <w:p w:rsidR="00D72C85" w:rsidRPr="00D72C85" w:rsidRDefault="00D72C85" w:rsidP="00D72C8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outset" w:sz="6" w:space="0" w:color="EBE9ED"/>
                          <w:bottom w:val="single" w:sz="8" w:space="0" w:color="auto"/>
                          <w:right w:val="single" w:sz="8" w:space="0" w:color="auto"/>
                        </w:tcBorders>
                        <w:vAlign w:val="center"/>
                        <w:hideMark/>
                      </w:tcPr>
                      <w:p w:rsidR="00D72C85" w:rsidRPr="00D72C85" w:rsidRDefault="00D72C85" w:rsidP="00D72C8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outset" w:sz="6" w:space="0" w:color="EBE9ED"/>
                          <w:bottom w:val="single" w:sz="8" w:space="0" w:color="auto"/>
                          <w:right w:val="single" w:sz="8" w:space="0" w:color="auto"/>
                        </w:tcBorders>
                        <w:vAlign w:val="center"/>
                        <w:hideMark/>
                      </w:tcPr>
                      <w:p w:rsidR="00D72C85" w:rsidRPr="00D72C85" w:rsidRDefault="00D72C85" w:rsidP="00D72C85">
                        <w:pPr>
                          <w:spacing w:after="0" w:line="240" w:lineRule="auto"/>
                          <w:rPr>
                            <w:rFonts w:ascii="Times New Roman" w:eastAsia="Times New Roman" w:hAnsi="Times New Roman" w:cs="Times New Roman"/>
                            <w:sz w:val="24"/>
                            <w:szCs w:val="24"/>
                          </w:rPr>
                        </w:pPr>
                      </w:p>
                    </w:tc>
                    <w:tc>
                      <w:tcPr>
                        <w:tcW w:w="651"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شماره</w:t>
                        </w:r>
                      </w:p>
                    </w:tc>
                    <w:tc>
                      <w:tcPr>
                        <w:tcW w:w="609"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تاريخ</w:t>
                        </w:r>
                      </w:p>
                    </w:tc>
                    <w:tc>
                      <w:tcPr>
                        <w:tcW w:w="739"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شماره</w:t>
                        </w:r>
                      </w:p>
                    </w:tc>
                    <w:tc>
                      <w:tcPr>
                        <w:tcW w:w="609"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2C85" w:rsidRPr="00D72C85" w:rsidRDefault="00D72C85" w:rsidP="00D72C85">
                        <w:pPr>
                          <w:bidi/>
                          <w:spacing w:after="0" w:line="240" w:lineRule="auto"/>
                          <w:jc w:val="center"/>
                          <w:rPr>
                            <w:rFonts w:ascii="Times New Roman" w:eastAsia="Times New Roman" w:hAnsi="Times New Roman" w:cs="Times New Roman"/>
                            <w:sz w:val="24"/>
                            <w:szCs w:val="24"/>
                          </w:rPr>
                        </w:pPr>
                        <w:r w:rsidRPr="00D72C85">
                          <w:rPr>
                            <w:rFonts w:ascii="Tahoma" w:eastAsia="Times New Roman" w:hAnsi="Tahoma" w:cs="Tahoma"/>
                            <w:sz w:val="16"/>
                            <w:szCs w:val="16"/>
                            <w:rtl/>
                          </w:rPr>
                          <w:t>تاريخ</w:t>
                        </w:r>
                      </w:p>
                    </w:tc>
                  </w:tr>
                  <w:tr w:rsidR="00D72C85" w:rsidRPr="00D72C85">
                    <w:trPr>
                      <w:jc w:val="center"/>
                    </w:trPr>
                    <w:tc>
                      <w:tcPr>
                        <w:tcW w:w="539"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lastRenderedPageBreak/>
                          <w:t> </w:t>
                        </w:r>
                      </w:p>
                    </w:tc>
                    <w:tc>
                      <w:tcPr>
                        <w:tcW w:w="642"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112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1098"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1203"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651"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609"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739"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imes New Roman" w:eastAsia="Times New Roman" w:hAnsi="Times New Roman" w:cs="Times New Roman"/>
                            <w:sz w:val="24"/>
                            <w:szCs w:val="24"/>
                            <w:rtl/>
                          </w:rPr>
                          <w:t> </w:t>
                        </w:r>
                      </w:p>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c>
                      <w:tcPr>
                        <w:tcW w:w="609"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D72C85" w:rsidRPr="00D72C85" w:rsidRDefault="00D72C85" w:rsidP="00D72C85">
                        <w:pPr>
                          <w:bidi/>
                          <w:spacing w:after="0" w:line="240" w:lineRule="auto"/>
                          <w:jc w:val="both"/>
                          <w:rPr>
                            <w:rFonts w:ascii="Times New Roman" w:eastAsia="Times New Roman" w:hAnsi="Times New Roman" w:cs="Times New Roman"/>
                            <w:sz w:val="24"/>
                            <w:szCs w:val="24"/>
                          </w:rPr>
                        </w:pPr>
                        <w:r w:rsidRPr="00D72C85">
                          <w:rPr>
                            <w:rFonts w:ascii="Times New Roman" w:eastAsia="Times New Roman" w:hAnsi="Times New Roman" w:cs="Times New Roman"/>
                            <w:sz w:val="24"/>
                            <w:szCs w:val="24"/>
                            <w:rtl/>
                          </w:rPr>
                          <w:t> </w:t>
                        </w:r>
                      </w:p>
                    </w:tc>
                  </w:tr>
                </w:tbl>
                <w:p w:rsidR="00D72C85" w:rsidRPr="00D72C85" w:rsidRDefault="00D72C85" w:rsidP="00D72C85">
                  <w:pPr>
                    <w:bidi/>
                    <w:spacing w:after="0" w:line="240" w:lineRule="auto"/>
                    <w:jc w:val="both"/>
                    <w:rPr>
                      <w:rFonts w:ascii="Times New Roman" w:eastAsia="Times New Roman" w:hAnsi="Times New Roman" w:cs="Times New Roman"/>
                      <w:sz w:val="24"/>
                      <w:szCs w:val="24"/>
                      <w:rtl/>
                    </w:rPr>
                  </w:pPr>
                  <w:r w:rsidRPr="00D72C85">
                    <w:rPr>
                      <w:rFonts w:ascii="Times New Roman" w:eastAsia="Times New Roman" w:hAnsi="Times New Roman" w:cs="Times New Roman"/>
                      <w:sz w:val="24"/>
                      <w:szCs w:val="24"/>
                      <w:rtl/>
                    </w:rPr>
                    <w:t> </w:t>
                  </w:r>
                </w:p>
                <w:p w:rsidR="00D72C85" w:rsidRPr="00D72C85" w:rsidRDefault="00D72C85" w:rsidP="00D72C85">
                  <w:pPr>
                    <w:bidi/>
                    <w:spacing w:after="0" w:line="240" w:lineRule="auto"/>
                    <w:jc w:val="right"/>
                    <w:rPr>
                      <w:rFonts w:ascii="Times New Roman" w:eastAsia="Times New Roman" w:hAnsi="Times New Roman" w:cs="Times New Roman"/>
                      <w:sz w:val="24"/>
                      <w:szCs w:val="24"/>
                      <w:rtl/>
                    </w:rPr>
                  </w:pPr>
                  <w:r w:rsidRPr="00D72C85">
                    <w:rPr>
                      <w:rFonts w:ascii="Tahoma" w:eastAsia="Times New Roman" w:hAnsi="Tahoma" w:cs="Tahoma"/>
                      <w:b/>
                      <w:bCs/>
                      <w:sz w:val="24"/>
                      <w:szCs w:val="24"/>
                      <w:rtl/>
                    </w:rPr>
                    <w:t>علي عسکري</w:t>
                  </w:r>
                </w:p>
                <w:p w:rsidR="00D72C85" w:rsidRPr="00D72C85" w:rsidRDefault="00D72C85" w:rsidP="00D72C85">
                  <w:pPr>
                    <w:bidi/>
                    <w:spacing w:after="0" w:line="240" w:lineRule="auto"/>
                    <w:jc w:val="right"/>
                    <w:rPr>
                      <w:rFonts w:ascii="Times New Roman" w:eastAsia="Times New Roman" w:hAnsi="Times New Roman" w:cs="Times New Roman"/>
                      <w:sz w:val="24"/>
                      <w:szCs w:val="24"/>
                    </w:rPr>
                  </w:pPr>
                  <w:r w:rsidRPr="00D72C85">
                    <w:rPr>
                      <w:rFonts w:ascii="Tahoma" w:eastAsia="Times New Roman" w:hAnsi="Tahoma" w:cs="Tahoma"/>
                      <w:b/>
                      <w:bCs/>
                      <w:sz w:val="24"/>
                      <w:szCs w:val="24"/>
                      <w:rtl/>
                    </w:rPr>
                    <w:t>رييس کل سازمان امور مالياتي کشور</w:t>
                  </w:r>
                </w:p>
              </w:tc>
            </w:tr>
          </w:tbl>
          <w:p w:rsidR="00D72C85" w:rsidRPr="00D72C85" w:rsidRDefault="00D72C85" w:rsidP="00D72C85">
            <w:pPr>
              <w:bidi/>
              <w:spacing w:after="0" w:line="240" w:lineRule="auto"/>
              <w:jc w:val="center"/>
              <w:rPr>
                <w:rFonts w:ascii="Tahoma" w:eastAsia="Times New Roman" w:hAnsi="Tahoma" w:cs="Tahoma"/>
                <w:color w:val="000000"/>
                <w:sz w:val="20"/>
                <w:szCs w:val="20"/>
              </w:rPr>
            </w:pPr>
          </w:p>
        </w:tc>
      </w:tr>
    </w:tbl>
    <w:p w:rsidR="00B920C0" w:rsidRDefault="00B920C0" w:rsidP="00D72C85"/>
    <w:sectPr w:rsidR="00B920C0" w:rsidSect="00B920C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1F" w:rsidRDefault="00F33C1F" w:rsidP="00523EE0">
      <w:pPr>
        <w:spacing w:after="0" w:line="240" w:lineRule="auto"/>
      </w:pPr>
      <w:r>
        <w:separator/>
      </w:r>
    </w:p>
  </w:endnote>
  <w:endnote w:type="continuationSeparator" w:id="0">
    <w:p w:rsidR="00F33C1F" w:rsidRDefault="00F33C1F" w:rsidP="0052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E0" w:rsidRDefault="00523EE0">
    <w:pPr>
      <w:pStyle w:val="Footer"/>
    </w:pPr>
    <w:r>
      <w:rPr>
        <w:noProof/>
      </w:rPr>
      <w:drawing>
        <wp:anchor distT="0" distB="0" distL="114300" distR="114300" simplePos="0" relativeHeight="251659264" behindDoc="1" locked="0" layoutInCell="1" allowOverlap="1">
          <wp:simplePos x="0" y="0"/>
          <wp:positionH relativeFrom="column">
            <wp:posOffset>-904240</wp:posOffset>
          </wp:positionH>
          <wp:positionV relativeFrom="paragraph">
            <wp:posOffset>-105410</wp:posOffset>
          </wp:positionV>
          <wp:extent cx="7830820" cy="732790"/>
          <wp:effectExtent l="19050" t="0" r="0" b="0"/>
          <wp:wrapTight wrapText="bothSides">
            <wp:wrapPolygon edited="0">
              <wp:start x="-53" y="0"/>
              <wp:lineTo x="-53" y="20776"/>
              <wp:lineTo x="21596" y="20776"/>
              <wp:lineTo x="21596" y="0"/>
              <wp:lineTo x="-53" y="0"/>
            </wp:wrapPolygon>
          </wp:wrapTight>
          <wp:docPr id="2" name="Picture 1"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a:blip r:embed="rId1"/>
                  <a:stretch>
                    <a:fillRect/>
                  </a:stretch>
                </pic:blipFill>
                <pic:spPr>
                  <a:xfrm>
                    <a:off x="0" y="0"/>
                    <a:ext cx="7830820" cy="7327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1F" w:rsidRDefault="00F33C1F" w:rsidP="00523EE0">
      <w:pPr>
        <w:spacing w:after="0" w:line="240" w:lineRule="auto"/>
      </w:pPr>
      <w:r>
        <w:separator/>
      </w:r>
    </w:p>
  </w:footnote>
  <w:footnote w:type="continuationSeparator" w:id="0">
    <w:p w:rsidR="00F33C1F" w:rsidRDefault="00F33C1F" w:rsidP="00523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E0" w:rsidRDefault="00523EE0">
    <w:pPr>
      <w:pStyle w:val="Header"/>
    </w:pPr>
    <w:r>
      <w:rPr>
        <w:noProof/>
      </w:rPr>
      <w:drawing>
        <wp:anchor distT="0" distB="0" distL="114300" distR="114300" simplePos="0" relativeHeight="251660288" behindDoc="0" locked="0" layoutInCell="1" allowOverlap="1">
          <wp:simplePos x="0" y="0"/>
          <wp:positionH relativeFrom="column">
            <wp:posOffset>-749300</wp:posOffset>
          </wp:positionH>
          <wp:positionV relativeFrom="paragraph">
            <wp:posOffset>-379730</wp:posOffset>
          </wp:positionV>
          <wp:extent cx="227965" cy="232410"/>
          <wp:effectExtent l="19050" t="0" r="635" b="0"/>
          <wp:wrapSquare wrapText="bothSides"/>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7965" cy="23241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5522595</wp:posOffset>
          </wp:positionH>
          <wp:positionV relativeFrom="paragraph">
            <wp:posOffset>-457200</wp:posOffset>
          </wp:positionV>
          <wp:extent cx="1334770" cy="310515"/>
          <wp:effectExtent l="19050" t="0" r="0" b="0"/>
          <wp:wrapSquare wrapText="bothSides"/>
          <wp:docPr id="1" name="Picture 0"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
                  <a:stretch>
                    <a:fillRect/>
                  </a:stretch>
                </pic:blipFill>
                <pic:spPr>
                  <a:xfrm>
                    <a:off x="0" y="0"/>
                    <a:ext cx="1334770" cy="3105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EE0"/>
    <w:rsid w:val="00523EE0"/>
    <w:rsid w:val="00683D9D"/>
    <w:rsid w:val="00B920C0"/>
    <w:rsid w:val="00D72C85"/>
    <w:rsid w:val="00F33C1F"/>
    <w:rsid w:val="00F50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EE0"/>
  </w:style>
  <w:style w:type="paragraph" w:styleId="Footer">
    <w:name w:val="footer"/>
    <w:basedOn w:val="Normal"/>
    <w:link w:val="FooterChar"/>
    <w:uiPriority w:val="99"/>
    <w:semiHidden/>
    <w:unhideWhenUsed/>
    <w:rsid w:val="00523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EE0"/>
  </w:style>
  <w:style w:type="paragraph" w:styleId="BalloonText">
    <w:name w:val="Balloon Text"/>
    <w:basedOn w:val="Normal"/>
    <w:link w:val="BalloonTextChar"/>
    <w:uiPriority w:val="99"/>
    <w:semiHidden/>
    <w:unhideWhenUsed/>
    <w:rsid w:val="005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938">
      <w:bodyDiv w:val="1"/>
      <w:marLeft w:val="0"/>
      <w:marRight w:val="0"/>
      <w:marTop w:val="0"/>
      <w:marBottom w:val="0"/>
      <w:divBdr>
        <w:top w:val="none" w:sz="0" w:space="0" w:color="auto"/>
        <w:left w:val="none" w:sz="0" w:space="0" w:color="auto"/>
        <w:bottom w:val="none" w:sz="0" w:space="0" w:color="auto"/>
        <w:right w:val="none" w:sz="0" w:space="0" w:color="auto"/>
      </w:divBdr>
      <w:divsChild>
        <w:div w:id="1326208486">
          <w:marLeft w:val="0"/>
          <w:marRight w:val="0"/>
          <w:marTop w:val="0"/>
          <w:marBottom w:val="0"/>
          <w:divBdr>
            <w:top w:val="none" w:sz="0" w:space="0" w:color="auto"/>
            <w:left w:val="none" w:sz="0" w:space="0" w:color="auto"/>
            <w:bottom w:val="none" w:sz="0" w:space="0" w:color="auto"/>
            <w:right w:val="none" w:sz="0" w:space="0" w:color="auto"/>
          </w:divBdr>
          <w:divsChild>
            <w:div w:id="690958777">
              <w:marLeft w:val="0"/>
              <w:marRight w:val="0"/>
              <w:marTop w:val="0"/>
              <w:marBottom w:val="200"/>
              <w:divBdr>
                <w:top w:val="none" w:sz="0" w:space="0" w:color="auto"/>
                <w:left w:val="none" w:sz="0" w:space="0" w:color="auto"/>
                <w:bottom w:val="none" w:sz="0" w:space="0" w:color="auto"/>
                <w:right w:val="none" w:sz="0" w:space="0" w:color="auto"/>
              </w:divBdr>
            </w:div>
            <w:div w:id="731319870">
              <w:marLeft w:val="0"/>
              <w:marRight w:val="0"/>
              <w:marTop w:val="0"/>
              <w:marBottom w:val="200"/>
              <w:divBdr>
                <w:top w:val="none" w:sz="0" w:space="0" w:color="auto"/>
                <w:left w:val="none" w:sz="0" w:space="0" w:color="auto"/>
                <w:bottom w:val="none" w:sz="0" w:space="0" w:color="auto"/>
                <w:right w:val="none" w:sz="0" w:space="0" w:color="auto"/>
              </w:divBdr>
            </w:div>
            <w:div w:id="1700350951">
              <w:marLeft w:val="0"/>
              <w:marRight w:val="0"/>
              <w:marTop w:val="0"/>
              <w:marBottom w:val="200"/>
              <w:divBdr>
                <w:top w:val="none" w:sz="0" w:space="0" w:color="auto"/>
                <w:left w:val="none" w:sz="0" w:space="0" w:color="auto"/>
                <w:bottom w:val="none" w:sz="0" w:space="0" w:color="auto"/>
                <w:right w:val="none" w:sz="0" w:space="0" w:color="auto"/>
              </w:divBdr>
            </w:div>
            <w:div w:id="1873153278">
              <w:marLeft w:val="0"/>
              <w:marRight w:val="0"/>
              <w:marTop w:val="0"/>
              <w:marBottom w:val="200"/>
              <w:divBdr>
                <w:top w:val="none" w:sz="0" w:space="0" w:color="auto"/>
                <w:left w:val="none" w:sz="0" w:space="0" w:color="auto"/>
                <w:bottom w:val="none" w:sz="0" w:space="0" w:color="auto"/>
                <w:right w:val="none" w:sz="0" w:space="0" w:color="auto"/>
              </w:divBdr>
            </w:div>
            <w:div w:id="910697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CCF0-576D-4FDC-BF9D-C96FA285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mediaco.ir</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sahand</cp:lastModifiedBy>
  <cp:revision>2</cp:revision>
  <cp:lastPrinted>2013-09-14T17:26:00Z</cp:lastPrinted>
  <dcterms:created xsi:type="dcterms:W3CDTF">2013-09-14T17:17:00Z</dcterms:created>
  <dcterms:modified xsi:type="dcterms:W3CDTF">2014-07-22T08:08:00Z</dcterms:modified>
</cp:coreProperties>
</file>